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D7" w:rsidRPr="00157DD7" w:rsidRDefault="00157DD7" w:rsidP="002C2AF6">
      <w:pPr>
        <w:ind w:right="-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7DD7">
        <w:rPr>
          <w:rFonts w:ascii="Times New Roman" w:hAnsi="Times New Roman" w:cs="Times New Roman"/>
          <w:b/>
          <w:sz w:val="28"/>
          <w:szCs w:val="28"/>
          <w:u w:val="single"/>
        </w:rPr>
        <w:t>ТЕХНИЧЕСКИ СПЕЦИФИКАЦИИ</w:t>
      </w:r>
    </w:p>
    <w:p w:rsidR="00466500" w:rsidRDefault="00466500" w:rsidP="002C2AF6">
      <w:pPr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DD7" w:rsidRDefault="00157DD7" w:rsidP="002C2AF6">
      <w:pPr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DD7">
        <w:rPr>
          <w:rFonts w:ascii="Times New Roman" w:hAnsi="Times New Roman" w:cs="Times New Roman"/>
          <w:b/>
          <w:sz w:val="24"/>
          <w:szCs w:val="24"/>
        </w:rPr>
        <w:t>КЪМ ОБЩЕСТВЕНА ПОРЪЧКА С ПРЕДМЕТ:</w:t>
      </w:r>
    </w:p>
    <w:p w:rsidR="00F2307F" w:rsidRDefault="00F2307F" w:rsidP="002C2AF6">
      <w:pPr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DD7" w:rsidRPr="00157DD7" w:rsidRDefault="00157DD7" w:rsidP="002C2AF6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AF6" w:rsidRDefault="00157DD7" w:rsidP="002C2AF6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DD7">
        <w:rPr>
          <w:rFonts w:ascii="Times New Roman" w:hAnsi="Times New Roman" w:cs="Times New Roman"/>
          <w:b/>
          <w:sz w:val="24"/>
          <w:szCs w:val="24"/>
        </w:rPr>
        <w:t>“ЗИМНО ПОДДЪРЖАНЕ НА ОБЩИНСКА ПЪТНА МРЕЖА и УЛИЧНА МРЕЖА В</w:t>
      </w:r>
    </w:p>
    <w:p w:rsidR="00157DD7" w:rsidRPr="00157DD7" w:rsidRDefault="00157DD7" w:rsidP="002C2AF6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D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6601">
        <w:rPr>
          <w:rFonts w:ascii="Times New Roman" w:hAnsi="Times New Roman" w:cs="Times New Roman"/>
          <w:b/>
          <w:sz w:val="24"/>
          <w:szCs w:val="24"/>
        </w:rPr>
        <w:t>СЕЛАТА ЗА СЕЗОН 201</w:t>
      </w:r>
      <w:r w:rsidR="00C63610" w:rsidRPr="00B76601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B76601">
        <w:rPr>
          <w:rFonts w:ascii="Times New Roman" w:hAnsi="Times New Roman" w:cs="Times New Roman"/>
          <w:b/>
          <w:sz w:val="24"/>
          <w:szCs w:val="24"/>
        </w:rPr>
        <w:t>/201</w:t>
      </w:r>
      <w:r w:rsidR="00C63610" w:rsidRPr="00B76601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B76601" w:rsidRPr="00B766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76601">
        <w:rPr>
          <w:rFonts w:ascii="Times New Roman" w:hAnsi="Times New Roman" w:cs="Times New Roman"/>
          <w:b/>
          <w:sz w:val="24"/>
          <w:szCs w:val="24"/>
        </w:rPr>
        <w:t>г.”</w:t>
      </w:r>
      <w:bookmarkStart w:id="0" w:name="_GoBack"/>
      <w:bookmarkEnd w:id="0"/>
    </w:p>
    <w:p w:rsidR="00F2307F" w:rsidRDefault="00F2307F" w:rsidP="00860421">
      <w:pPr>
        <w:tabs>
          <w:tab w:val="num" w:pos="36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6893" w:rsidRPr="001E6893" w:rsidRDefault="001E6893" w:rsidP="00860421">
      <w:pPr>
        <w:tabs>
          <w:tab w:val="num" w:pos="36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Зимното 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поддържане на пътищата включва комплекс от дейности, свързани с осигуряване на проходимостта им при зимни условия и премахване или ограничаване на неблагоприятното влияние на снега и леда върху условията на движение. Видът и обхватът на работите за зимно поддържане на пътищата се определят в зависимост от приетото за определен път ниво на зимно поддържане.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Основните дейности за зимно поддържане на пътищата включват: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1. </w:t>
      </w:r>
      <w:r w:rsidR="00860421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одготвителни работи: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a) изготвяне на планове за зимно поддържане;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б) технически прегледи на заявените за използване машини и съоръжения;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в) подготовка на пътищата за експлоатация при зимни условия;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г) осигуряване на необходимите материали;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д) съгласуване на дейностите между органите на АПИ, общин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т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 и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дружествата, поддържащи републиканските и общинските пътища;</w:t>
      </w:r>
    </w:p>
    <w:p w:rsidR="00B662DA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) определяне на нивата на зимно поддържане на общинските пътища;</w:t>
      </w:r>
    </w:p>
    <w:p w:rsidR="001E6893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ж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) определяне на последователността на провеждане на снегозащитните мероприятия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зависимост от </w:t>
      </w:r>
      <w:r w:rsidRPr="0086042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нив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</w:t>
      </w:r>
      <w:r w:rsidRPr="0086042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на зимно поддържане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конкретните общински пътища в оперативния план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2.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Снегозащита 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на пътищата чрез изграждане и поставяне на снегозащитни устройства - постоянни (крайпътни зелени пояси, земни диги и др.) и временни (огради от преносими инвентарни щитове) устройства, както и окосяване на тревни площи, изсичане на храсти, отстраняване на материали и други предмети в обхвата на пътя, които водят до образуване на снегонавявания;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3.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негопочистване (патрулно и периодично) на пътищата до постигане на съответните степени и ниво на зимно поддържане, разчистване на снежни валове, преспи и снегонавявания и отстраняване на уплътнени снежно-ледени пластове;</w:t>
      </w:r>
    </w:p>
    <w:p w:rsidR="001E6893" w:rsidRPr="001E6893" w:rsidRDefault="001E6893" w:rsidP="00905D33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lastRenderedPageBreak/>
        <w:t xml:space="preserve"> 4.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безопасяване на пътищата срещу хлъзгане: разпръскване на минерални материали и химични вещества.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Дейностите за зимно поддържане на пътищата се извършват в съответствие с плановете за зимно поддържане, предварително изготвени от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Габрово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, и оперативните планове за зимно поддържане, разработени от изпълнителите, на които това е възложено с договорите за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зимно 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поддържане на общинските пътища. </w:t>
      </w:r>
    </w:p>
    <w:p w:rsidR="001E6893" w:rsidRPr="001E6893" w:rsidRDefault="001E6893" w:rsidP="0086042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конкретни извънредни или аварийни ситуации, Възложителят  може да разпорежда промяна на приоритетите, наемане на допълнителна техника, употреба на инертни материали и др. по преценка след съгласуване с </w:t>
      </w:r>
      <w:r w:rsidR="0048431C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ителя.</w:t>
      </w:r>
    </w:p>
    <w:p w:rsidR="00466500" w:rsidRPr="00157DD7" w:rsidRDefault="00466500" w:rsidP="00B83CB8">
      <w:pPr>
        <w:ind w:left="426" w:right="-567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157DD7" w:rsidRDefault="00157DD7" w:rsidP="002C2AF6">
      <w:pPr>
        <w:spacing w:after="240"/>
        <w:ind w:right="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Pr="00157DD7">
        <w:rPr>
          <w:rFonts w:ascii="Times New Roman" w:hAnsi="Times New Roman" w:cs="Times New Roman"/>
          <w:b/>
          <w:color w:val="000000"/>
          <w:sz w:val="24"/>
          <w:szCs w:val="24"/>
        </w:rPr>
        <w:t>ОПИСАНИЕ НА РАБОТИТЕ И ТЕХНИЧЕСКИ ИЗИСКВАНИЯ</w:t>
      </w:r>
      <w:r w:rsidR="00011B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C2AF6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="00011B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ДЕЙНОСТИТЕ СНЕГОПОЧИСТВАНЕ И ОБЕЗОПАСЯВАНЕ НА ПЪТИЩАТА СРЕЩУ ХЛЪЗГАНЕ</w:t>
      </w:r>
    </w:p>
    <w:p w:rsidR="00157DD7" w:rsidRPr="00157DD7" w:rsidRDefault="00157DD7" w:rsidP="002C2AF6">
      <w:pPr>
        <w:pStyle w:val="1"/>
        <w:autoSpaceDE w:val="0"/>
        <w:autoSpaceDN w:val="0"/>
        <w:adjustRightInd w:val="0"/>
        <w:spacing w:after="240" w:line="240" w:lineRule="auto"/>
        <w:ind w:left="0" w:right="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1.1. Снегочистене на пътищата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Снегочистенето на пътищата обхваща дейностите, свързани с отстраняването на снега от пътното платно. То трябва да се извършва своевременно, бързо и качествено и да осигурява условия за нормално протичане на движението и за предпазването на пътищата от образуване на снегонавявания при снежни виелици. Несвоевременното почистване на снега води до неговото уплътняване под действието на автомобилите и образуване на </w:t>
      </w:r>
      <w:r w:rsidRPr="00157D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7DD7">
        <w:rPr>
          <w:rFonts w:ascii="Times New Roman" w:hAnsi="Times New Roman" w:cs="Times New Roman"/>
          <w:sz w:val="24"/>
          <w:szCs w:val="24"/>
        </w:rPr>
        <w:t xml:space="preserve">снежно- ледени пластове върху настилката. 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Снежните маси се разчистват по цялата широчина на пътното платно. Изхвърленият сняг не трябва да намалява видимостта на пътя, особено в зоните на пътните кръстовища, където опасността от това е най-голяма. </w:t>
      </w:r>
    </w:p>
    <w:p w:rsidR="00157DD7" w:rsidRPr="00157DD7" w:rsidRDefault="00157DD7" w:rsidP="00905D33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312" w:right="-567" w:hanging="312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Машини и съоръжения за снегочистене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Снегочистенето по пътищата се извършва по механичен начин с помощта на: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специализирани снегоринни машини;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пътни машини с общо предназначение; </w:t>
      </w:r>
    </w:p>
    <w:p w:rsidR="00157DD7" w:rsidRDefault="00157DD7" w:rsidP="00905D33">
      <w:pPr>
        <w:autoSpaceDE w:val="0"/>
        <w:autoSpaceDN w:val="0"/>
        <w:adjustRightInd w:val="0"/>
        <w:spacing w:after="24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прикачни снегорини. </w:t>
      </w:r>
    </w:p>
    <w:p w:rsidR="00157DD7" w:rsidRPr="00157DD7" w:rsidRDefault="00157DD7" w:rsidP="00905D33">
      <w:pPr>
        <w:pStyle w:val="1"/>
        <w:numPr>
          <w:ilvl w:val="0"/>
          <w:numId w:val="1"/>
        </w:numPr>
        <w:tabs>
          <w:tab w:val="clear" w:pos="720"/>
          <w:tab w:val="num" w:pos="312"/>
        </w:tabs>
        <w:autoSpaceDE w:val="0"/>
        <w:autoSpaceDN w:val="0"/>
        <w:adjustRightInd w:val="0"/>
        <w:spacing w:after="240" w:line="240" w:lineRule="auto"/>
        <w:ind w:left="312" w:right="-567" w:hanging="312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Разчистване на снежна покривка от платното за движение</w:t>
      </w:r>
    </w:p>
    <w:p w:rsidR="00157DD7" w:rsidRPr="00157DD7" w:rsidRDefault="00157DD7" w:rsidP="00466500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 общинските пътища изискванията към експлоатационното състояние 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платното за движение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в зависимост от нивото на зимно поддържане и срока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 изпълнение са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157DD7" w:rsidRDefault="00157DD7" w:rsidP="00157DD7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307F" w:rsidRDefault="00F2307F" w:rsidP="00157DD7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307F" w:rsidRDefault="00F2307F" w:rsidP="00157DD7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307F" w:rsidRDefault="00F2307F" w:rsidP="00157DD7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791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268"/>
        <w:gridCol w:w="1985"/>
        <w:gridCol w:w="1701"/>
        <w:gridCol w:w="1984"/>
        <w:gridCol w:w="1134"/>
      </w:tblGrid>
      <w:tr w:rsidR="00157DD7" w:rsidRPr="00157DD7" w:rsidTr="009C7FE4">
        <w:trPr>
          <w:trHeight w:val="585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Ниво на зимно под-държане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движението през зимния период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 към експлоатационното състояние на платното за движение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Максимален срок за провеждане на мероприятия срещу хлъзгане,</w:t>
            </w:r>
          </w:p>
        </w:tc>
      </w:tr>
      <w:tr w:rsidR="00157DD7" w:rsidRPr="00157DD7" w:rsidTr="009C7FE4">
        <w:trPr>
          <w:trHeight w:val="88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 снегопочистване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след провеждане на снегопочистването и мероприятия за предпазване от заледявания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9C7FE4">
        <w:trPr>
          <w:trHeight w:val="112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допустима дебелина на снежната покривка при снеговалеж,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наличие на уплътнен пласт върху пътното покритие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повърхността на платното за движение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h</w:t>
            </w: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bg-BG"/>
              </w:rPr>
              <w:t>i</w:t>
            </w:r>
          </w:p>
        </w:tc>
      </w:tr>
      <w:tr w:rsidR="00157DD7" w:rsidRPr="00157DD7" w:rsidTr="009C7FE4">
        <w:trPr>
          <w:trHeight w:val="2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</w:tr>
      <w:tr w:rsidR="00157DD7" w:rsidRPr="00157DD7" w:rsidTr="00FA6AAB">
        <w:trPr>
          <w:trHeight w:val="15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Пътят е отворен за движение през целия зимен период и по всяко време на денонощието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изключение на отделни места или участъци, в които не е разрешено използването на химични вещества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Обработена с химични вещества за стопяване на снега и леда или опесъчена пътна повърхност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</w:tr>
      <w:tr w:rsidR="00157DD7" w:rsidRPr="00157DD7" w:rsidTr="00FA6AAB">
        <w:trPr>
          <w:trHeight w:val="54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Пътят е отворен за движение през целия зимен период и по всяко време на денонощието, с изключение на малки участъци от пътя с трудни условия за движение, където то може да бъде преустановено за 2 – 3 часа до почистване на снега и отстраняване на хлъзгавостта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 отделни участъци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Обработена с химични вещества за стопяване на снега и леда или опесъчена пътна повърхност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</w:tr>
      <w:tr w:rsidR="00157DD7" w:rsidRPr="00157DD7" w:rsidTr="00FA6AAB">
        <w:trPr>
          <w:trHeight w:val="76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FA6AAB">
        <w:trPr>
          <w:trHeight w:val="173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снежен пласт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FA6AAB">
        <w:trPr>
          <w:trHeight w:val="525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Допуска се отделни участъци от пътя да бъдат затваряни за по-продължителен период от време до почистване на снега и отстраняване на хлъзгавостта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цялата дължина на пътя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Уплътнена пътна повърхност в участъци с трудни условия за движение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</w:tr>
      <w:tr w:rsidR="00157DD7" w:rsidRPr="00157DD7" w:rsidTr="00FA6AAB">
        <w:trPr>
          <w:trHeight w:val="127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 снежен пласт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FA6AAB">
        <w:trPr>
          <w:trHeight w:val="27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Допуска се целият път или отделни участъци от пътя да бъдат затваряни през целия зимен период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</w:tr>
      <w:tr w:rsidR="00157DD7" w:rsidRPr="00157DD7" w:rsidTr="00FA6AAB">
        <w:trPr>
          <w:trHeight w:val="78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</w:tr>
    </w:tbl>
    <w:p w:rsidR="00683448" w:rsidRDefault="00683448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 общинските пътища с нива на зимно поддържане N-1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снегопочистването трябва да започне веднага след побеляването 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платното за движение, а по тези с нива на зимно поддържане N-2 и N-3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снегопочистването трябва да започне при дебелина на снежната покривка с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2 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3 cm по-малка от стойностите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табл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ицата.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Снежната покривка по пътищата се отстранява чрез последователно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изтласкване на снега от оста на пътя към банкетите. Снегоринните машини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могат да се движат непрекъснато по време на снеговалежа (патрулна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система на снегопочистване) или периодично през определен интервал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време (периодично снегопочистване).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lastRenderedPageBreak/>
        <w:t>Времето между две последователни преминавания на снегорините се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избира така, че дебелината на образувалата се снежна покривка върху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платното за движение да е не по-голяма от посочените стойности в табл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ицата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Патрулната система на снегопочистване се прилага при снеговалеж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 общинските пътища с ниво на зимно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поддържане N-1 или N-2. При тази система на снегопочистване комплекти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от снегоринни машини, включващи 2 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4 броя леки и тежки едностранни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снегоринни плуга, се движат непрекъснато през цялото време 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снеговалежа и последователно изтласкват падналия сняг от оста на пътя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към банкетите.</w:t>
      </w:r>
    </w:p>
    <w:p w:rsid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Броят на снегоринните машини се избира в зависимост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широчината на платното за движение.</w:t>
      </w:r>
    </w:p>
    <w:p w:rsidR="00683448" w:rsidRDefault="00683448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>При интензивни снеговалежи, придружени с частични снегонавявания на пътното платно, се допуска да се изпълняват само работите по почистването на платното за движение. Отстраняването на снежните маси в краищата на платното за движение се извършва след спиране на снеговалежа. При интензивни снеговалежи по пътища с интензивност на движение под 500 МПС/ден се допуска снегочистене само на една лента за движение с уширение за разминаване през 200÷300 m.  При много неблагоприятни климатични условия /снежни бури, интензивни снежни виелици с големи снегонавявания/, когато не може да се осъществи ефективно снегочистене, се допуска работите по снегочистенето на пътя да се преустановят до спиране на вятъра и подобряване на времето.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1.2. Обезопасяване на пътищата срещу хлъзгане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Обезопасяването на пътищата против хлъзгане се извършва при заснежено или заледено платно за движение. Целта е да се отстрани или ограничи неблагоприятното влияние на зимната хлъзгавост върху условията и безопасността на движението през зимата. Обезопасяването се постига чрез разпръскване на: минерални материали (опесъчаване) или на химически вещества за стопяване на леда и снега. Отделните способи могат да се прилагат самостоятелно или комбинирано. </w:t>
      </w:r>
    </w:p>
    <w:p w:rsidR="007655D7" w:rsidRPr="007655D7" w:rsidRDefault="007655D7" w:rsidP="00466500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Изисквания към машините и съоръженията за разпръскване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Материалите за обезопасяване на пътищата против хлъзгане през зимата се разпръскват със специални уредби, монтирани на товарни автомобили. Уредбите трябва да бъдат снабдени с дозиращи устройства.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дозиране на твърди материали трябва да позволява регулиране на разходната норма в границите 5÷50 g/m2 за химическите вещества във вид на кристали и 100÷500 g/m2 за минералните материали. Устройството трябва да позволява регулиране на количеството на разпръскваните материали в зависимост от скоростта на движение на използвания автомобил.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разпръскване на водни разтвори на химически вещества трябва да бъдат снабдени с помпа за пръскане под налягане 0,2÷0,3 МРа. Дозиращото устройство трябва да позволява регулиране на разпръскваните количества водни разтвори в границите от 30 до 150g/m2.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Разпръскващото устройство трябва да осигурява равномерно разпределение на материалите върху платното за движение. За целта то трябва да позволява регулиране на широчината на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разпръскване в границите от 2 до 6 m при устройство с един разпределител и от 4 до 12 m, при устройство с два разпределителя.</w:t>
      </w:r>
    </w:p>
    <w:p w:rsidR="007655D7" w:rsidRPr="007655D7" w:rsidRDefault="007655D7" w:rsidP="00FA6AAB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Разпръскване на минерални материали </w:t>
      </w:r>
    </w:p>
    <w:p w:rsidR="007655D7" w:rsidRPr="007655D7" w:rsidRDefault="007655D7" w:rsidP="00FA6AAB">
      <w:pPr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Разпръскването на минерални материали /опесъчаване/ на пътищата през зимата се извършва с минерални материали - пясък, каменни фракции, сгурия и др. Материалите за опесъчаване трябва да отговарят на изискванията. Препоръчва се използването на пясъко-солени смеси в съотношение 150÷200 kg сол на 1 m3 пясък. Солта и пясъка трябва да бъдат предварително смесени и добре размесени.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Разходните норми на минералните материали за опесъчаване са 100÷300 g/m2 при пътни участъци с нормални условия на движение и 300 ÷ 500 g/m2 при пътни участъци с тежки условия на движение, а именно: участъци с надлъжни наклони по-големи от 3 %, хоризонтални криви с малки радиуси, пътни кръстовища, автобусни спирки, големи пътни съоръжения, пътни участъци в близост до реки и водоеми, зони с голямо пешеходно движение и други участъци, при които се налага интензивно използване на спирачки. При междинни опесъчавания по време на снеговалеж разходните норми са 100÷200 g/m2. Минералните материали трябва да се разпръскват по цялата широчина на платното за движение.</w:t>
      </w:r>
    </w:p>
    <w:p w:rsidR="007655D7" w:rsidRDefault="007655D7" w:rsidP="00FA6AAB">
      <w:pPr>
        <w:spacing w:after="120"/>
        <w:ind w:right="-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Опесъчаването е машинно или ръчно.</w:t>
      </w:r>
    </w:p>
    <w:p w:rsidR="00466500" w:rsidRDefault="00466500" w:rsidP="00FA6AAB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  <w:lang w:val="x-none"/>
        </w:rPr>
        <w:t>инерални</w:t>
      </w:r>
      <w:r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  <w:lang w:val="x-none"/>
        </w:rPr>
        <w:t xml:space="preserve"> материали (за опесъчаване</w:t>
      </w:r>
      <w:r>
        <w:rPr>
          <w:rFonts w:ascii="Times New Roman" w:hAnsi="Times New Roman"/>
          <w:sz w:val="24"/>
          <w:szCs w:val="24"/>
        </w:rPr>
        <w:t xml:space="preserve"> трябва да</w:t>
      </w:r>
      <w:r>
        <w:rPr>
          <w:rFonts w:ascii="Times New Roman" w:hAnsi="Times New Roman"/>
          <w:sz w:val="24"/>
          <w:szCs w:val="24"/>
          <w:lang w:val="x-none"/>
        </w:rPr>
        <w:t xml:space="preserve"> отговарят на </w:t>
      </w:r>
      <w:r>
        <w:rPr>
          <w:rFonts w:ascii="Times New Roman" w:hAnsi="Times New Roman"/>
          <w:sz w:val="24"/>
          <w:szCs w:val="24"/>
        </w:rPr>
        <w:t xml:space="preserve">следните </w:t>
      </w:r>
      <w:r>
        <w:rPr>
          <w:rFonts w:ascii="Times New Roman" w:hAnsi="Times New Roman"/>
          <w:sz w:val="24"/>
          <w:szCs w:val="24"/>
          <w:lang w:val="x-none"/>
        </w:rPr>
        <w:t>технически изисквания:</w:t>
      </w:r>
    </w:p>
    <w:p w:rsidR="00466500" w:rsidRPr="00FA6AAB" w:rsidRDefault="00466500" w:rsidP="00FA6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2070"/>
        <w:gridCol w:w="2625"/>
      </w:tblGrid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Показател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Метод на</w:t>
            </w: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изпитване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Стойност на показателя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Форма на зърната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Кубична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Максимален размер на зърната, mm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Pr="007D3C66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БДС EN 933-1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4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Съдържание на бучки глини и ронливи зърна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БДС</w:t>
            </w:r>
            <w:r w:rsidR="002C2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Не се допуска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Съдържание на отмиваеми частици, %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2C2AF6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БДС </w:t>
            </w:r>
            <w:r w:rsidR="00466500">
              <w:rPr>
                <w:rFonts w:ascii="Times New Roman" w:hAnsi="Times New Roman"/>
                <w:sz w:val="24"/>
                <w:szCs w:val="24"/>
                <w:lang w:val="x-none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&lt; 5</w:t>
            </w:r>
          </w:p>
        </w:tc>
      </w:tr>
    </w:tbl>
    <w:p w:rsidR="00466500" w:rsidRDefault="00466500" w:rsidP="0046650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FA6AAB" w:rsidRPr="00FA6AAB" w:rsidRDefault="00FA6AAB" w:rsidP="0046650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7655D7" w:rsidRPr="007655D7" w:rsidRDefault="007655D7" w:rsidP="00FA6AAB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12" w:right="-567" w:hanging="3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Разпръскване на химически вещества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обезопасяване на пътищата против хлъзгане през зимата се използват за стопяване на снега и леда най-често следните химически вещества: техническа сол (NaCI) магнезиева луга (воден разтвор на MgCI2) и калциев двухлорид (CaCI2).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Солта трябва да отговаря на изискванията на </w:t>
      </w:r>
      <w:r w:rsidRPr="007655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“Технически изисквания за сол за зимно поддържане на пътищата – ИАП, 2005 г”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(ТИ-ИАП) </w:t>
      </w: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[107]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и са показани в </w:t>
      </w:r>
      <w:r w:rsidR="00FA6A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следващата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таблица 1.</w:t>
      </w:r>
    </w:p>
    <w:p w:rsidR="009C7FE4" w:rsidRDefault="009C7FE4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F2307F" w:rsidRDefault="00F2307F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lastRenderedPageBreak/>
        <w:t>таблица 1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524"/>
        <w:gridCol w:w="936"/>
        <w:gridCol w:w="1170"/>
        <w:gridCol w:w="2652"/>
      </w:tblGrid>
      <w:tr w:rsidR="007655D7" w:rsidRPr="007655D7" w:rsidTr="00A87710">
        <w:tc>
          <w:tcPr>
            <w:tcW w:w="49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Метод на изпитване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Вид на солта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Каменна или морска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Зърнометрия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Сито,mm %, премин.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4,75                 100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0,16                 ≤ 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съдържание на водоразтворими хлориди, изразени като NaCl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≥96,0 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съдържание на водоразтворими сулфати, изразени като CaSO4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Съдържание на влага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2.0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Съдържание на тежки метали: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As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Pb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Cd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Cr,общ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Cu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Ni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Hg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Zn 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ppm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10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0.5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50 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655D7" w:rsidRPr="007655D7" w:rsidRDefault="007655D7" w:rsidP="00FA6A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Магнезиевата луга е отпадъчен продукт при производството на морска сол. Използваната при зимното поддържане магнезиева луга трябва да отговаря на изискванията, посочени в таблица 2.</w:t>
      </w:r>
    </w:p>
    <w:p w:rsid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A6AAB" w:rsidRPr="007655D7" w:rsidRDefault="00FA6AAB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2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63"/>
        <w:gridCol w:w="840"/>
        <w:gridCol w:w="3938"/>
      </w:tblGrid>
      <w:tr w:rsidR="007655D7" w:rsidRPr="007655D7" w:rsidTr="00A87710">
        <w:tc>
          <w:tcPr>
            <w:tcW w:w="507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63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ind w:left="-708" w:firstLine="7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393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6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2"/>
            </w:tblGrid>
            <w:tr w:rsidR="007655D7" w:rsidRPr="007655D7" w:rsidTr="00A87710">
              <w:trPr>
                <w:trHeight w:val="247"/>
              </w:trPr>
              <w:tc>
                <w:tcPr>
                  <w:tcW w:w="0" w:type="auto"/>
                </w:tcPr>
                <w:p w:rsidR="007655D7" w:rsidRPr="007655D7" w:rsidRDefault="007655D7" w:rsidP="007655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</w:pPr>
                  <w:r w:rsidRPr="007655D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  <w:t xml:space="preserve">Външен вид след разбъркване </w:t>
                  </w:r>
                </w:p>
              </w:tc>
            </w:tr>
          </w:tbl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Течност с розов или сламено-жълт до оран-жев цвят</w:t>
            </w:r>
          </w:p>
        </w:tc>
      </w:tr>
      <w:tr w:rsidR="007655D7" w:rsidRPr="007655D7" w:rsidTr="00A87710">
        <w:trPr>
          <w:trHeight w:val="196"/>
        </w:trPr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Плътност при 20°С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kg/m3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1230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90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сулфат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60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натриев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170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 xml:space="preserve"> </w:t>
      </w:r>
    </w:p>
    <w:p w:rsidR="00FA6AAB" w:rsidRDefault="00FA6AAB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FA6AAB" w:rsidRDefault="00FA6AAB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655D7" w:rsidRPr="007655D7" w:rsidRDefault="007655D7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Разходните норми на химическите вещества за стопяване на снега и леда, както и условията за тяхното използване през зимата, са показане в таблица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3.</w:t>
      </w:r>
    </w:p>
    <w:p w:rsid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A6AAB" w:rsidRPr="007655D7" w:rsidRDefault="00FA6AAB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3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</w:p>
    <w:tbl>
      <w:tblPr>
        <w:tblW w:w="0" w:type="auto"/>
        <w:jc w:val="center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1872"/>
        <w:gridCol w:w="624"/>
        <w:gridCol w:w="702"/>
        <w:gridCol w:w="702"/>
        <w:gridCol w:w="624"/>
        <w:gridCol w:w="624"/>
        <w:gridCol w:w="624"/>
        <w:gridCol w:w="624"/>
        <w:gridCol w:w="624"/>
        <w:gridCol w:w="649"/>
      </w:tblGrid>
      <w:tr w:rsidR="007655D7" w:rsidRPr="007655D7" w:rsidTr="00A87710">
        <w:trPr>
          <w:jc w:val="center"/>
        </w:trPr>
        <w:tc>
          <w:tcPr>
            <w:tcW w:w="2053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Вид на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използваните химични в-ва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Минимална температура, до която използването на химически вещества е ефективно, С°</w:t>
            </w: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Разходна норма, g/m²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лед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Уплътнен сняг</w:t>
            </w: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Пресен сняг</w:t>
            </w:r>
          </w:p>
        </w:tc>
      </w:tr>
      <w:tr w:rsidR="007655D7" w:rsidRPr="007655D7" w:rsidTr="00A87710">
        <w:trPr>
          <w:trHeight w:val="360"/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Температура на въздуха, С°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Натриев хлорид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Смес натриев хлорид и калциев двухлорид в съотношение 9:1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Магнезиева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-12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Калциева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P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F4581B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снегочистене по време на снеговалеж могат да се използват химически вещества за предотвратяване на уплътняването и залепването на снега върху пътното покритие в количество 80 ÷100 g/m2 магнезиева луга или 10÷20 g/m2 промишлена сол. При използване на магнезиева луга първото разпръскване трябва да се извърши веднага след започване на снеговалежа.  При използване на техническа сол и слаб снеговалеж първото разпръскване се извършва 30÷45 min. след началото на снеговалежа, а при силен снеговалеж – след 15÷20 min. При интензивни и продължителни снеговалежи трябва да се извършват повторни разпръсквания на химически вещества след всеки 2÷3 преминавания на снегоринните машини.</w:t>
      </w:r>
    </w:p>
    <w:p w:rsidR="007655D7" w:rsidRPr="007655D7" w:rsidRDefault="007655D7" w:rsidP="007655D7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2. КАЧЕСТВО  НА  ИЗВЪРШЕНИТЕ  РАБОТИ.</w:t>
      </w:r>
    </w:p>
    <w:p w:rsidR="00011BEA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Качеството на извършените работи трябва да отговаря на изискванията на:</w:t>
      </w:r>
    </w:p>
    <w:p w:rsidR="00011BEA" w:rsidRPr="007655D7" w:rsidRDefault="00011BEA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</w:t>
      </w:r>
      <w:r w:rsidRP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РД-02-20-19 от 12.11.2012 г. за поддържане и текущ ремонт на пътищата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7655D7" w:rsidRDefault="007655D7" w:rsidP="00011BEA">
      <w:pPr>
        <w:tabs>
          <w:tab w:val="left" w:pos="284"/>
        </w:tabs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•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Технически правила и изисквания за поддържане на пътища, одобрени от Изпълнителния Директор на НАПИ през 2009 г. публикувани на интернет страницата на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A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ПИ, дял „Зимно поддържане”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Инструкция № 3 от 18.07.2007 г за реда на осъществяване на спасителни и неотложни аварийно-възстановителни работи при бедствия;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опазване на околната среда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дравословни и безопасни условия на труд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пътищата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движение по пътищата 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• и други приложими към предмета на поръчката</w:t>
      </w:r>
    </w:p>
    <w:p w:rsidR="007655D7" w:rsidRPr="007655D7" w:rsidRDefault="007655D7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3</w:t>
      </w: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. </w:t>
      </w:r>
      <w:proofErr w:type="gramStart"/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БЕЗОПАСНОСТ  НА</w:t>
      </w:r>
      <w:proofErr w:type="gramEnd"/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ДВИЖЕНИЕТО  И  ОХРАНА  НА  ТРУДА.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Изпълнителят е длъжен сам и за своя сметка да осигури безопасността на автомобилното движение и на работещите по зимното поддържане по време на извършването на всички дейности, както и спазването на всички изисквания на Закон за здравословни и безопасни условия на труда / 2005 г./.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При причиняване на пътно-транспортни произшествия (ПТП)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резултат на лошо зимно поддържане на пътищата и улиците, изпълнителя носи пълна имуществена отговорност за причинените вреди.</w:t>
      </w:r>
    </w:p>
    <w:p w:rsidR="007655D7" w:rsidRPr="007655D7" w:rsidRDefault="007655D7" w:rsidP="007655D7">
      <w:pPr>
        <w:spacing w:after="120" w:line="240" w:lineRule="auto"/>
        <w:ind w:right="-567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bg-BG"/>
        </w:rPr>
      </w:pPr>
    </w:p>
    <w:p w:rsidR="00157DD7" w:rsidRPr="00157DD7" w:rsidRDefault="00157DD7">
      <w:pPr>
        <w:rPr>
          <w:rFonts w:ascii="Times New Roman" w:hAnsi="Times New Roman" w:cs="Times New Roman"/>
          <w:lang w:val="en-US"/>
        </w:rPr>
      </w:pPr>
    </w:p>
    <w:sectPr w:rsidR="00157DD7" w:rsidRPr="00157DD7" w:rsidSect="00683448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3394"/>
    <w:multiLevelType w:val="singleLevel"/>
    <w:tmpl w:val="067C0860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">
    <w:nsid w:val="458417A8"/>
    <w:multiLevelType w:val="hybridMultilevel"/>
    <w:tmpl w:val="9968DA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F77A4"/>
    <w:multiLevelType w:val="hybridMultilevel"/>
    <w:tmpl w:val="1E32C0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FA"/>
    <w:rsid w:val="00011BEA"/>
    <w:rsid w:val="00157DD7"/>
    <w:rsid w:val="001E6893"/>
    <w:rsid w:val="00202F8C"/>
    <w:rsid w:val="002C2AF6"/>
    <w:rsid w:val="003B32AC"/>
    <w:rsid w:val="00466500"/>
    <w:rsid w:val="0048431C"/>
    <w:rsid w:val="00683448"/>
    <w:rsid w:val="007655D7"/>
    <w:rsid w:val="007D3C66"/>
    <w:rsid w:val="00860421"/>
    <w:rsid w:val="00905D33"/>
    <w:rsid w:val="009C7FE4"/>
    <w:rsid w:val="00A3200C"/>
    <w:rsid w:val="00AC0D53"/>
    <w:rsid w:val="00B662DA"/>
    <w:rsid w:val="00B76601"/>
    <w:rsid w:val="00B83CB8"/>
    <w:rsid w:val="00C63610"/>
    <w:rsid w:val="00CF2EFA"/>
    <w:rsid w:val="00F2307F"/>
    <w:rsid w:val="00F4581B"/>
    <w:rsid w:val="00FA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E8889-2731-4D46-A2AC-1502F3DC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2202</Words>
  <Characters>12558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Mariana Draganova</cp:lastModifiedBy>
  <cp:revision>5</cp:revision>
  <dcterms:created xsi:type="dcterms:W3CDTF">2016-06-07T13:58:00Z</dcterms:created>
  <dcterms:modified xsi:type="dcterms:W3CDTF">2016-06-14T13:02:00Z</dcterms:modified>
</cp:coreProperties>
</file>